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645BB5" w:rsidTr="00645BB5">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645BB5" w:rsidRDefault="00645BB5">
            <w:pPr>
              <w:pStyle w:val="Header"/>
              <w:spacing w:line="276" w:lineRule="auto"/>
              <w:jc w:val="center"/>
              <w:rPr>
                <w:rFonts w:ascii="Arial" w:hAnsi="Arial" w:cs="Arial"/>
                <w:b/>
                <w:bCs/>
                <w:sz w:val="20"/>
              </w:rPr>
            </w:pPr>
            <w:r>
              <w:rPr>
                <w:rFonts w:ascii="Arial" w:hAnsi="Arial" w:cs="Arial"/>
                <w:b/>
                <w:bCs/>
                <w:sz w:val="20"/>
              </w:rPr>
              <w:t>PLAN REVIEW</w:t>
            </w:r>
          </w:p>
        </w:tc>
      </w:tr>
      <w:tr w:rsidR="00645BB5" w:rsidTr="00645BB5">
        <w:tc>
          <w:tcPr>
            <w:tcW w:w="1620" w:type="dxa"/>
            <w:tcBorders>
              <w:top w:val="single" w:sz="4" w:space="0" w:color="666666"/>
              <w:left w:val="single" w:sz="4" w:space="0" w:color="666666"/>
              <w:bottom w:val="single" w:sz="4" w:space="0" w:color="666666"/>
              <w:right w:val="single" w:sz="4" w:space="0" w:color="666666"/>
            </w:tcBorders>
            <w:hideMark/>
          </w:tcPr>
          <w:p w:rsidR="00645BB5" w:rsidRDefault="00645BB5">
            <w:pPr>
              <w:pStyle w:val="Header"/>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645BB5" w:rsidRDefault="00645BB5">
            <w:pPr>
              <w:pStyle w:val="Header"/>
              <w:spacing w:line="276" w:lineRule="auto"/>
              <w:jc w:val="center"/>
              <w:rPr>
                <w:b/>
                <w:bCs/>
                <w:i/>
                <w:iCs/>
                <w:sz w:val="20"/>
              </w:rPr>
            </w:pPr>
            <w:r>
              <w:rPr>
                <w:b/>
                <w:bCs/>
                <w:i/>
                <w:iCs/>
                <w:sz w:val="20"/>
              </w:rPr>
              <w:t>Date</w:t>
            </w:r>
          </w:p>
        </w:tc>
      </w:tr>
      <w:tr w:rsidR="00645BB5" w:rsidTr="00ED3286">
        <w:tc>
          <w:tcPr>
            <w:tcW w:w="1620" w:type="dxa"/>
            <w:tcBorders>
              <w:top w:val="single" w:sz="4" w:space="0" w:color="666666"/>
              <w:left w:val="single" w:sz="4" w:space="0" w:color="666666"/>
              <w:bottom w:val="single" w:sz="4" w:space="0" w:color="666666"/>
              <w:right w:val="single" w:sz="4" w:space="0" w:color="666666"/>
            </w:tcBorders>
          </w:tcPr>
          <w:p w:rsidR="00645BB5" w:rsidRDefault="00645BB5">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645BB5" w:rsidRDefault="00645BB5">
            <w:pPr>
              <w:pStyle w:val="Header"/>
              <w:spacing w:line="276" w:lineRule="auto"/>
              <w:rPr>
                <w:sz w:val="20"/>
              </w:rPr>
            </w:pPr>
          </w:p>
        </w:tc>
      </w:tr>
      <w:tr w:rsidR="00645BB5" w:rsidTr="00645BB5">
        <w:tc>
          <w:tcPr>
            <w:tcW w:w="1620" w:type="dxa"/>
            <w:tcBorders>
              <w:top w:val="single" w:sz="4" w:space="0" w:color="666666"/>
              <w:left w:val="single" w:sz="4" w:space="0" w:color="666666"/>
              <w:bottom w:val="single" w:sz="4" w:space="0" w:color="666666"/>
              <w:right w:val="single" w:sz="4" w:space="0" w:color="666666"/>
            </w:tcBorders>
          </w:tcPr>
          <w:p w:rsidR="00645BB5" w:rsidRDefault="00645BB5">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645BB5" w:rsidRDefault="00645BB5">
            <w:pPr>
              <w:pStyle w:val="Header"/>
              <w:spacing w:line="276" w:lineRule="auto"/>
              <w:rPr>
                <w:sz w:val="20"/>
              </w:rPr>
            </w:pPr>
          </w:p>
        </w:tc>
      </w:tr>
      <w:tr w:rsidR="00645BB5" w:rsidTr="00645BB5">
        <w:tc>
          <w:tcPr>
            <w:tcW w:w="1620" w:type="dxa"/>
            <w:tcBorders>
              <w:top w:val="single" w:sz="4" w:space="0" w:color="666666"/>
              <w:left w:val="single" w:sz="4" w:space="0" w:color="666666"/>
              <w:bottom w:val="single" w:sz="4" w:space="0" w:color="666666"/>
              <w:right w:val="single" w:sz="4" w:space="0" w:color="666666"/>
            </w:tcBorders>
          </w:tcPr>
          <w:p w:rsidR="00645BB5" w:rsidRDefault="00645BB5">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645BB5" w:rsidRDefault="00645BB5">
            <w:pPr>
              <w:pStyle w:val="Header"/>
              <w:spacing w:line="276" w:lineRule="auto"/>
              <w:rPr>
                <w:sz w:val="20"/>
              </w:rPr>
            </w:pPr>
          </w:p>
        </w:tc>
      </w:tr>
      <w:tr w:rsidR="00645BB5" w:rsidTr="00645BB5">
        <w:tc>
          <w:tcPr>
            <w:tcW w:w="1620" w:type="dxa"/>
            <w:tcBorders>
              <w:top w:val="single" w:sz="4" w:space="0" w:color="666666"/>
              <w:left w:val="single" w:sz="4" w:space="0" w:color="666666"/>
              <w:bottom w:val="single" w:sz="4" w:space="0" w:color="666666"/>
              <w:right w:val="single" w:sz="4" w:space="0" w:color="666666"/>
            </w:tcBorders>
          </w:tcPr>
          <w:p w:rsidR="00645BB5" w:rsidRDefault="00645BB5">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645BB5" w:rsidRDefault="00645BB5">
            <w:pPr>
              <w:pStyle w:val="Header"/>
              <w:spacing w:line="276" w:lineRule="auto"/>
              <w:rPr>
                <w:sz w:val="20"/>
              </w:rPr>
            </w:pPr>
          </w:p>
        </w:tc>
      </w:tr>
      <w:tr w:rsidR="00645BB5" w:rsidTr="00645BB5">
        <w:tc>
          <w:tcPr>
            <w:tcW w:w="1620" w:type="dxa"/>
            <w:tcBorders>
              <w:top w:val="single" w:sz="4" w:space="0" w:color="666666"/>
              <w:left w:val="single" w:sz="4" w:space="0" w:color="666666"/>
              <w:bottom w:val="single" w:sz="4" w:space="0" w:color="666666"/>
              <w:right w:val="single" w:sz="4" w:space="0" w:color="666666"/>
            </w:tcBorders>
          </w:tcPr>
          <w:p w:rsidR="00645BB5" w:rsidRDefault="00645BB5">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645BB5" w:rsidRDefault="00645BB5">
            <w:pPr>
              <w:pStyle w:val="Header"/>
              <w:spacing w:line="276" w:lineRule="auto"/>
              <w:rPr>
                <w:sz w:val="20"/>
              </w:rPr>
            </w:pPr>
          </w:p>
        </w:tc>
      </w:tr>
    </w:tbl>
    <w:p w:rsidR="00645BB5" w:rsidRDefault="00645BB5" w:rsidP="00645BB5">
      <w:pPr>
        <w:ind w:left="360"/>
        <w:jc w:val="right"/>
        <w:rPr>
          <w:rFonts w:cs="Arial"/>
        </w:rPr>
      </w:pPr>
    </w:p>
    <w:p w:rsidR="00645BB5" w:rsidRDefault="00645BB5" w:rsidP="00645BB5">
      <w:pPr>
        <w:ind w:left="360"/>
        <w:rPr>
          <w:rFonts w:cs="Arial"/>
          <w:sz w:val="36"/>
          <w:szCs w:val="36"/>
        </w:rPr>
      </w:pPr>
      <w:r>
        <w:rPr>
          <w:rFonts w:cs="Arial"/>
          <w:sz w:val="36"/>
          <w:szCs w:val="36"/>
        </w:rPr>
        <w:t xml:space="preserve">                                                                Contact:</w:t>
      </w:r>
    </w:p>
    <w:p w:rsidR="00645BB5" w:rsidRDefault="00645BB5" w:rsidP="00645BB5">
      <w:pPr>
        <w:tabs>
          <w:tab w:val="left" w:pos="6957"/>
        </w:tabs>
        <w:rPr>
          <w:rFonts w:cs="Arial"/>
          <w:sz w:val="28"/>
          <w:szCs w:val="28"/>
        </w:rPr>
      </w:pPr>
      <w:r>
        <w:rPr>
          <w:rFonts w:cs="Arial"/>
        </w:rPr>
        <w:tab/>
      </w:r>
      <w:r w:rsidR="00ED3286">
        <w:rPr>
          <w:rFonts w:cs="Arial"/>
        </w:rPr>
        <w:t xml:space="preserve">    </w:t>
      </w:r>
      <w:r w:rsidR="00ED3286" w:rsidRPr="00ED3286">
        <w:rPr>
          <w:rFonts w:cs="Arial"/>
          <w:sz w:val="28"/>
          <w:szCs w:val="28"/>
        </w:rPr>
        <w:t>Mike Siemer</w:t>
      </w:r>
    </w:p>
    <w:p w:rsidR="00385BF4" w:rsidRDefault="008B1D14" w:rsidP="00385BF4">
      <w:pPr>
        <w:tabs>
          <w:tab w:val="center" w:pos="4680"/>
          <w:tab w:val="right" w:pos="9360"/>
        </w:tabs>
        <w:jc w:val="both"/>
        <w:rPr>
          <w:rFonts w:cs="Arial"/>
          <w:b/>
          <w:bCs/>
          <w:color w:val="0000AA"/>
        </w:rPr>
      </w:pPr>
      <w:r>
        <w:rPr>
          <w:rFonts w:cs="Arial"/>
          <w:b/>
          <w:bCs/>
          <w:color w:val="0000AA"/>
        </w:rPr>
        <w:tab/>
      </w:r>
      <w:r w:rsidRPr="008B1D14">
        <w:rPr>
          <w:rFonts w:cs="Arial"/>
          <w:b/>
          <w:bCs/>
          <w:color w:val="auto"/>
        </w:rPr>
        <w:t xml:space="preserve">                                                                                  (507) 430-1369</w:t>
      </w:r>
    </w:p>
    <w:p w:rsidR="00ED3286" w:rsidRDefault="00ED3286" w:rsidP="00385BF4">
      <w:pPr>
        <w:tabs>
          <w:tab w:val="center" w:pos="4680"/>
          <w:tab w:val="right" w:pos="9360"/>
        </w:tabs>
        <w:jc w:val="both"/>
        <w:rPr>
          <w:rFonts w:cs="Arial"/>
          <w:b/>
          <w:bCs/>
          <w:color w:val="0000AA"/>
        </w:rPr>
      </w:pPr>
    </w:p>
    <w:p w:rsidR="00385BF4" w:rsidRDefault="00385BF4" w:rsidP="00385BF4">
      <w:pPr>
        <w:tabs>
          <w:tab w:val="center" w:pos="4680"/>
          <w:tab w:val="right" w:pos="9360"/>
        </w:tabs>
        <w:jc w:val="both"/>
        <w:rPr>
          <w:rFonts w:cs="Arial"/>
          <w:b/>
          <w:bCs/>
          <w:color w:val="0000AA"/>
        </w:rPr>
      </w:pPr>
    </w:p>
    <w:p w:rsidR="00385BF4" w:rsidRDefault="00385BF4" w:rsidP="00385BF4">
      <w:pPr>
        <w:tabs>
          <w:tab w:val="center" w:pos="4680"/>
          <w:tab w:val="right" w:pos="9360"/>
        </w:tabs>
        <w:jc w:val="both"/>
        <w:rPr>
          <w:rFonts w:cs="Arial"/>
          <w:b/>
          <w:bCs/>
          <w:sz w:val="36"/>
        </w:rPr>
      </w:pPr>
      <w:r>
        <w:rPr>
          <w:rFonts w:cs="Arial"/>
          <w:b/>
          <w:bCs/>
          <w:sz w:val="36"/>
        </w:rPr>
        <w:tab/>
        <w:t>BLEACHER SAFETY PLAN</w:t>
      </w:r>
    </w:p>
    <w:p w:rsidR="00385BF4" w:rsidRDefault="00385BF4" w:rsidP="00385BF4">
      <w:pPr>
        <w:tabs>
          <w:tab w:val="left" w:pos="1800"/>
        </w:tabs>
        <w:jc w:val="both"/>
        <w:rPr>
          <w:rFonts w:cs="Arial"/>
        </w:rPr>
      </w:pPr>
    </w:p>
    <w:p w:rsidR="00385BF4" w:rsidRDefault="00385BF4" w:rsidP="00385BF4">
      <w:pPr>
        <w:jc w:val="center"/>
        <w:rPr>
          <w:sz w:val="40"/>
        </w:rPr>
      </w:pPr>
    </w:p>
    <w:p w:rsidR="00385BF4" w:rsidRDefault="00385BF4" w:rsidP="00385BF4">
      <w:pPr>
        <w:pStyle w:val="Heading2"/>
        <w:rPr>
          <w:b/>
          <w:bCs/>
          <w:sz w:val="28"/>
        </w:rPr>
      </w:pPr>
      <w:r>
        <w:rPr>
          <w:b/>
          <w:bCs/>
          <w:sz w:val="28"/>
        </w:rPr>
        <w:t>PURPOSE</w:t>
      </w:r>
    </w:p>
    <w:p w:rsidR="00385BF4" w:rsidRDefault="00385BF4" w:rsidP="00385BF4">
      <w:pPr>
        <w:rPr>
          <w:sz w:val="32"/>
        </w:rPr>
      </w:pPr>
    </w:p>
    <w:p w:rsidR="00385BF4" w:rsidRDefault="00385BF4" w:rsidP="00385BF4">
      <w:pPr>
        <w:pStyle w:val="BodyText"/>
        <w:rPr>
          <w:rFonts w:ascii="Trebuchet MS" w:hAnsi="Trebuchet MS"/>
        </w:rPr>
      </w:pPr>
      <w:r>
        <w:rPr>
          <w:rFonts w:ascii="Trebuchet MS" w:hAnsi="Trebuchet MS"/>
        </w:rPr>
        <w:t>Recently, lawmakers from Minnesota asked the Consumer Products Safety Commission to issue guidelines to establish bleacher safety standards.  These guidelines would set the standards that companies would have to meet regarding the production, erection, and retrofitting of bleacher facilities, as well as inspection checklists to be sure that the bleachers are structurally sound.  Effective January 1, 2002, all bleachers will have to conform to the Uniform Building Code proposed in 2000.</w:t>
      </w:r>
    </w:p>
    <w:p w:rsidR="00385BF4" w:rsidRDefault="00385BF4" w:rsidP="00385BF4">
      <w:pPr>
        <w:rPr>
          <w:sz w:val="28"/>
        </w:rPr>
      </w:pPr>
    </w:p>
    <w:p w:rsidR="00385BF4" w:rsidRDefault="00385BF4" w:rsidP="00385BF4">
      <w:pPr>
        <w:pStyle w:val="Heading2"/>
        <w:rPr>
          <w:b/>
          <w:bCs/>
          <w:sz w:val="28"/>
        </w:rPr>
      </w:pPr>
      <w:r>
        <w:rPr>
          <w:b/>
          <w:bCs/>
          <w:sz w:val="28"/>
        </w:rPr>
        <w:t>GOALS OF PLAN</w:t>
      </w:r>
    </w:p>
    <w:p w:rsidR="00385BF4" w:rsidRDefault="00385BF4" w:rsidP="00385BF4"/>
    <w:p w:rsidR="00385BF4" w:rsidRDefault="00385BF4" w:rsidP="00385BF4">
      <w:pPr>
        <w:widowControl/>
        <w:numPr>
          <w:ilvl w:val="0"/>
          <w:numId w:val="1"/>
        </w:numPr>
      </w:pPr>
      <w:r>
        <w:t>Reduce/Eliminate accidents on school bleacher facilities.</w:t>
      </w:r>
    </w:p>
    <w:p w:rsidR="00385BF4" w:rsidRDefault="00385BF4" w:rsidP="00385BF4">
      <w:pPr>
        <w:widowControl/>
        <w:numPr>
          <w:ilvl w:val="0"/>
          <w:numId w:val="1"/>
        </w:numPr>
      </w:pPr>
      <w:r>
        <w:t>Increase/Maintain the protection of the individuals using the facility.</w:t>
      </w:r>
    </w:p>
    <w:p w:rsidR="00385BF4" w:rsidRDefault="00385BF4" w:rsidP="00385BF4">
      <w:pPr>
        <w:widowControl/>
        <w:numPr>
          <w:ilvl w:val="0"/>
          <w:numId w:val="1"/>
        </w:numPr>
      </w:pPr>
      <w:r>
        <w:t>Provide checklists and training for staff to perform regular bleacher safety inspections.</w:t>
      </w:r>
    </w:p>
    <w:p w:rsidR="00385BF4" w:rsidRDefault="00385BF4" w:rsidP="00385BF4">
      <w:pPr>
        <w:widowControl/>
        <w:numPr>
          <w:ilvl w:val="0"/>
          <w:numId w:val="1"/>
        </w:numPr>
        <w:rPr>
          <w:sz w:val="28"/>
        </w:rPr>
      </w:pPr>
      <w:r>
        <w:t>Maintain appropriate documentation of training, inspections, and accidents that may occur regarding the use of the bleacher facility</w:t>
      </w:r>
      <w:r>
        <w:rPr>
          <w:sz w:val="28"/>
        </w:rPr>
        <w:t>.</w:t>
      </w:r>
    </w:p>
    <w:p w:rsidR="00385BF4" w:rsidRDefault="00385BF4" w:rsidP="00385BF4">
      <w:pPr>
        <w:rPr>
          <w:sz w:val="28"/>
        </w:rPr>
      </w:pPr>
    </w:p>
    <w:p w:rsidR="00385BF4" w:rsidRDefault="00385BF4" w:rsidP="00385BF4">
      <w:pPr>
        <w:pStyle w:val="Heading2"/>
        <w:rPr>
          <w:b/>
          <w:bCs/>
          <w:sz w:val="28"/>
        </w:rPr>
      </w:pPr>
      <w:r>
        <w:rPr>
          <w:b/>
          <w:bCs/>
          <w:sz w:val="28"/>
        </w:rPr>
        <w:t>POLICY</w:t>
      </w:r>
    </w:p>
    <w:p w:rsidR="00385BF4" w:rsidRDefault="00385BF4" w:rsidP="00385BF4">
      <w:pPr>
        <w:rPr>
          <w:sz w:val="28"/>
        </w:rPr>
      </w:pPr>
    </w:p>
    <w:p w:rsidR="00385BF4" w:rsidRDefault="00385BF4" w:rsidP="00385BF4">
      <w:r>
        <w:t>It is the goal of the district to provide and maintain safe bleacher facilities for the public.  In order to meet this goal, the district has developed standard operating procedures to help maintain their facilities and protect the users.  These procedures will not necessarily eliminate all accidents and injuries, but it will make all attempts to reduce the possibility of them occurring.  District personnel will follow the following guidelines:</w:t>
      </w:r>
    </w:p>
    <w:p w:rsidR="00385BF4" w:rsidRDefault="00385BF4" w:rsidP="00385BF4"/>
    <w:p w:rsidR="00385BF4" w:rsidRDefault="008B1D14" w:rsidP="00385BF4">
      <w:pPr>
        <w:widowControl/>
        <w:numPr>
          <w:ilvl w:val="0"/>
          <w:numId w:val="2"/>
        </w:numPr>
      </w:pPr>
      <w:r>
        <w:lastRenderedPageBreak/>
        <w:t>Manufacturer’s</w:t>
      </w:r>
      <w:r w:rsidR="00385BF4">
        <w:t xml:space="preserve"> specifications shall be followed when installing bleachers.</w:t>
      </w:r>
    </w:p>
    <w:p w:rsidR="00385BF4" w:rsidRDefault="00385BF4" w:rsidP="00385BF4">
      <w:pPr>
        <w:widowControl/>
        <w:numPr>
          <w:ilvl w:val="0"/>
          <w:numId w:val="2"/>
        </w:numPr>
      </w:pPr>
      <w:r>
        <w:t>Retrofitting bleachers will be done to meet the UBC guidelines for bleachers set forth in 2000.</w:t>
      </w:r>
    </w:p>
    <w:p w:rsidR="00385BF4" w:rsidRDefault="00385BF4" w:rsidP="00385BF4">
      <w:pPr>
        <w:widowControl/>
        <w:numPr>
          <w:ilvl w:val="0"/>
          <w:numId w:val="2"/>
        </w:numPr>
      </w:pPr>
      <w:r>
        <w:t xml:space="preserve">Trained employees will do all inspections, repairs, maintenance, and documentation.  These will all be done in accordance with current standards set forth by the C.P.S.C. and the U.B.C. </w:t>
      </w:r>
    </w:p>
    <w:p w:rsidR="00385BF4" w:rsidRDefault="00385BF4" w:rsidP="00385BF4">
      <w:pPr>
        <w:widowControl/>
        <w:numPr>
          <w:ilvl w:val="0"/>
          <w:numId w:val="2"/>
        </w:numPr>
      </w:pPr>
      <w:r>
        <w:t>Any accidents/injuries will be recorded.</w:t>
      </w:r>
    </w:p>
    <w:p w:rsidR="00385BF4" w:rsidRDefault="00385BF4" w:rsidP="00385BF4"/>
    <w:p w:rsidR="00385BF4" w:rsidRDefault="00385BF4" w:rsidP="00385BF4">
      <w:pPr>
        <w:pStyle w:val="Heading2"/>
        <w:rPr>
          <w:b/>
          <w:bCs/>
          <w:sz w:val="24"/>
        </w:rPr>
      </w:pPr>
      <w:r>
        <w:rPr>
          <w:b/>
          <w:bCs/>
          <w:sz w:val="24"/>
        </w:rPr>
        <w:t>TRAINING</w:t>
      </w:r>
    </w:p>
    <w:p w:rsidR="00385BF4" w:rsidRDefault="00385BF4" w:rsidP="00385BF4"/>
    <w:p w:rsidR="00385BF4" w:rsidRDefault="00385BF4" w:rsidP="00385BF4">
      <w:r>
        <w:t>To ensure proper and consistent inspections and maintenance are done, specific school personnel will be trained and understand the current guidelines regarding properly maintained bleacher facilities.  Properly trained school personnel and/or professionals will handle any issues regarding the repairing or erection of a whole/part of the bleacher system.  Any handling of the bleacher facility will be documented by the school district and kept on file in the BLEACHER SAFETY PLAN.</w:t>
      </w:r>
    </w:p>
    <w:p w:rsidR="00385BF4" w:rsidRDefault="00385BF4" w:rsidP="00385BF4">
      <w:pPr>
        <w:rPr>
          <w:sz w:val="28"/>
        </w:rPr>
      </w:pPr>
    </w:p>
    <w:p w:rsidR="00385BF4" w:rsidRDefault="00385BF4" w:rsidP="00385BF4">
      <w:pPr>
        <w:pStyle w:val="Heading2"/>
        <w:rPr>
          <w:b/>
          <w:bCs/>
          <w:sz w:val="28"/>
        </w:rPr>
      </w:pPr>
      <w:r>
        <w:rPr>
          <w:b/>
          <w:bCs/>
          <w:sz w:val="28"/>
        </w:rPr>
        <w:t>ACCIDENTS/INJURIES</w:t>
      </w:r>
    </w:p>
    <w:p w:rsidR="00385BF4" w:rsidRDefault="00385BF4" w:rsidP="00385BF4">
      <w:pPr>
        <w:rPr>
          <w:sz w:val="28"/>
        </w:rPr>
      </w:pPr>
    </w:p>
    <w:p w:rsidR="00385BF4" w:rsidRDefault="00385BF4" w:rsidP="00385BF4">
      <w:r>
        <w:t>The purpose of the Bleacher Safety Management Plan is to reduce/eliminate accidents and injuries and provides a safe bleacher facility.  When accidents or injuries occur, the school district sees that it is important to document the</w:t>
      </w:r>
      <w:r w:rsidR="008B1D14">
        <w:t xml:space="preserve"> </w:t>
      </w:r>
      <w:r>
        <w:t>accident or injury and to take corrective measures if necessary.  All accidents/injury reports will be kept in the BLEACHER SAFETY PLAN.</w:t>
      </w:r>
    </w:p>
    <w:p w:rsidR="00385BF4" w:rsidRDefault="00385BF4" w:rsidP="00385BF4">
      <w:pPr>
        <w:rPr>
          <w:sz w:val="28"/>
        </w:rPr>
      </w:pPr>
    </w:p>
    <w:p w:rsidR="00385BF4" w:rsidRDefault="00385BF4" w:rsidP="00385BF4">
      <w:pPr>
        <w:pStyle w:val="Heading2"/>
        <w:rPr>
          <w:b/>
          <w:bCs/>
          <w:sz w:val="28"/>
        </w:rPr>
      </w:pPr>
      <w:r>
        <w:rPr>
          <w:b/>
          <w:bCs/>
          <w:sz w:val="28"/>
        </w:rPr>
        <w:t>AUDITS/INSPECTIONS</w:t>
      </w:r>
    </w:p>
    <w:p w:rsidR="00385BF4" w:rsidRDefault="00385BF4" w:rsidP="00385BF4">
      <w:pPr>
        <w:rPr>
          <w:sz w:val="28"/>
        </w:rPr>
      </w:pPr>
    </w:p>
    <w:p w:rsidR="00385BF4" w:rsidRDefault="00385BF4" w:rsidP="00385BF4">
      <w:r>
        <w:t xml:space="preserve">Audits and inspections are a vital part of the Bleacher Safety Management Plan.  In order to reduce/eliminate accidents and injuries, the district must thoroughly inspect the bleacher facilities based on UBC and CPSC guidelines and requirements.  </w:t>
      </w:r>
    </w:p>
    <w:p w:rsidR="00385BF4" w:rsidRDefault="00385BF4" w:rsidP="00385BF4"/>
    <w:p w:rsidR="00385BF4" w:rsidRDefault="00385BF4" w:rsidP="00385BF4">
      <w:pPr>
        <w:widowControl/>
        <w:numPr>
          <w:ilvl w:val="0"/>
          <w:numId w:val="3"/>
        </w:numPr>
      </w:pPr>
      <w:r>
        <w:t xml:space="preserve">The safety audit is a one-time initial inspection to perform an in depth analysis of the entire bleacher facility.  It helps to recognize the need for repair, removal, or retrofitting of the bleacher system to meet the standards set forth by the Uniform Building Code (UBC), and the Consumer Product Safety Commission (CPSC).  </w:t>
      </w:r>
    </w:p>
    <w:p w:rsidR="00385BF4" w:rsidRDefault="00385BF4" w:rsidP="00385BF4">
      <w:pPr>
        <w:widowControl/>
        <w:numPr>
          <w:ilvl w:val="0"/>
          <w:numId w:val="3"/>
        </w:numPr>
      </w:pPr>
      <w:r>
        <w:t>The safety inspections are routine inspections to be sure that the bleachers are maintained properly to provide maximum safety for its users.  A detailed checklist will be used for these</w:t>
      </w:r>
      <w:r>
        <w:rPr>
          <w:sz w:val="28"/>
        </w:rPr>
        <w:t xml:space="preserve"> </w:t>
      </w:r>
      <w:r>
        <w:t>inspections, and trained school personnel will keep documentation.</w:t>
      </w:r>
    </w:p>
    <w:p w:rsidR="00385BF4" w:rsidRDefault="00385BF4" w:rsidP="00385BF4"/>
    <w:p w:rsidR="00C3519A" w:rsidRDefault="008B1D14">
      <w:r>
        <w:t>***</w:t>
      </w:r>
      <w:bookmarkStart w:id="0" w:name="_GoBack"/>
      <w:bookmarkEnd w:id="0"/>
      <w:r w:rsidR="00385BF4">
        <w:t xml:space="preserve">All audit and inspection forms will be kept in the BLEACHER SAFETY file or in the CUSTODIAL MANUAL.     </w:t>
      </w:r>
    </w:p>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7BD" w:rsidRDefault="008437BD" w:rsidP="00E9024C">
      <w:r>
        <w:separator/>
      </w:r>
    </w:p>
  </w:endnote>
  <w:endnote w:type="continuationSeparator" w:id="0">
    <w:p w:rsidR="008437BD" w:rsidRDefault="008437BD"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7BD" w:rsidRDefault="008437BD" w:rsidP="00E9024C">
      <w:r>
        <w:separator/>
      </w:r>
    </w:p>
  </w:footnote>
  <w:footnote w:type="continuationSeparator" w:id="0">
    <w:p w:rsidR="008437BD" w:rsidRDefault="008437BD"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8B1D1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B1D14">
          <w:rPr>
            <w:b/>
            <w:bCs/>
            <w:noProof/>
          </w:rPr>
          <w:t>2</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C3EEA"/>
    <w:multiLevelType w:val="hybridMultilevel"/>
    <w:tmpl w:val="E640D1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567F14"/>
    <w:multiLevelType w:val="hybridMultilevel"/>
    <w:tmpl w:val="D7F2D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3D2CB5"/>
    <w:multiLevelType w:val="hybridMultilevel"/>
    <w:tmpl w:val="8E2A50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385BF4"/>
    <w:rsid w:val="00645BB5"/>
    <w:rsid w:val="008437BD"/>
    <w:rsid w:val="008B1D14"/>
    <w:rsid w:val="00C3519A"/>
    <w:rsid w:val="00E9024C"/>
    <w:rsid w:val="00ED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4"/>
    <w:pPr>
      <w:widowControl w:val="0"/>
      <w:spacing w:after="0" w:line="240" w:lineRule="auto"/>
    </w:pPr>
    <w:rPr>
      <w:rFonts w:ascii="Trebuchet MS" w:eastAsia="Times New Roman" w:hAnsi="Trebuchet MS" w:cs="Times New Roman"/>
      <w:snapToGrid w:val="0"/>
      <w:color w:val="000000"/>
      <w:sz w:val="24"/>
      <w:szCs w:val="24"/>
    </w:rPr>
  </w:style>
  <w:style w:type="paragraph" w:styleId="Heading2">
    <w:name w:val="heading 2"/>
    <w:basedOn w:val="Normal"/>
    <w:next w:val="Normal"/>
    <w:link w:val="Heading2Char"/>
    <w:qFormat/>
    <w:rsid w:val="00385BF4"/>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2Char">
    <w:name w:val="Heading 2 Char"/>
    <w:basedOn w:val="DefaultParagraphFont"/>
    <w:link w:val="Heading2"/>
    <w:rsid w:val="00385BF4"/>
    <w:rPr>
      <w:rFonts w:ascii="Trebuchet MS" w:eastAsia="Times New Roman" w:hAnsi="Trebuchet MS" w:cs="Times New Roman"/>
      <w:snapToGrid w:val="0"/>
      <w:color w:val="000000"/>
      <w:sz w:val="36"/>
      <w:szCs w:val="36"/>
    </w:rPr>
  </w:style>
  <w:style w:type="paragraph" w:styleId="BodyText">
    <w:name w:val="Body Text"/>
    <w:basedOn w:val="Normal"/>
    <w:link w:val="BodyTextChar"/>
    <w:semiHidden/>
    <w:rsid w:val="00385BF4"/>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385BF4"/>
    <w:rPr>
      <w:rFonts w:ascii="Times New Roman" w:eastAsia="Times New Roman" w:hAnsi="Times New Roman" w:cs="Times New Roman"/>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4"/>
    <w:pPr>
      <w:widowControl w:val="0"/>
      <w:spacing w:after="0" w:line="240" w:lineRule="auto"/>
    </w:pPr>
    <w:rPr>
      <w:rFonts w:ascii="Trebuchet MS" w:eastAsia="Times New Roman" w:hAnsi="Trebuchet MS" w:cs="Times New Roman"/>
      <w:snapToGrid w:val="0"/>
      <w:color w:val="000000"/>
      <w:sz w:val="24"/>
      <w:szCs w:val="24"/>
    </w:rPr>
  </w:style>
  <w:style w:type="paragraph" w:styleId="Heading2">
    <w:name w:val="heading 2"/>
    <w:basedOn w:val="Normal"/>
    <w:next w:val="Normal"/>
    <w:link w:val="Heading2Char"/>
    <w:qFormat/>
    <w:rsid w:val="00385BF4"/>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2Char">
    <w:name w:val="Heading 2 Char"/>
    <w:basedOn w:val="DefaultParagraphFont"/>
    <w:link w:val="Heading2"/>
    <w:rsid w:val="00385BF4"/>
    <w:rPr>
      <w:rFonts w:ascii="Trebuchet MS" w:eastAsia="Times New Roman" w:hAnsi="Trebuchet MS" w:cs="Times New Roman"/>
      <w:snapToGrid w:val="0"/>
      <w:color w:val="000000"/>
      <w:sz w:val="36"/>
      <w:szCs w:val="36"/>
    </w:rPr>
  </w:style>
  <w:style w:type="paragraph" w:styleId="BodyText">
    <w:name w:val="Body Text"/>
    <w:basedOn w:val="Normal"/>
    <w:link w:val="BodyTextChar"/>
    <w:semiHidden/>
    <w:rsid w:val="00385BF4"/>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385BF4"/>
    <w:rPr>
      <w:rFonts w:ascii="Times New Roman" w:eastAsia="Times New Roman" w:hAnsi="Times New Roman" w:cs="Times New Roman"/>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9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5</cp:revision>
  <dcterms:created xsi:type="dcterms:W3CDTF">2013-11-14T17:54:00Z</dcterms:created>
  <dcterms:modified xsi:type="dcterms:W3CDTF">2014-06-27T15:16:00Z</dcterms:modified>
</cp:coreProperties>
</file>