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31" w:rsidRPr="003E6A72" w:rsidRDefault="00C87B31" w:rsidP="00C87B31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Hazardous Waste Management</w:t>
      </w:r>
    </w:p>
    <w:p w:rsidR="00C87B31" w:rsidRPr="003E6A72" w:rsidRDefault="00C87B31" w:rsidP="00C87B31">
      <w:pPr>
        <w:pStyle w:val="NormalWeb"/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Program Contact Person(s)</w:t>
      </w:r>
    </w:p>
    <w:p w:rsidR="00C87B31" w:rsidRPr="003E6A72" w:rsidRDefault="00C87B31" w:rsidP="00C87B31">
      <w:pPr>
        <w:rPr>
          <w:rFonts w:ascii="Trebuchet MS" w:hAnsi="Trebuchet MS" w:cs="Arial"/>
        </w:rPr>
      </w:pPr>
    </w:p>
    <w:p w:rsidR="00C87B31" w:rsidRPr="003E6A72" w:rsidRDefault="00C87B31" w:rsidP="00C87B31">
      <w:pPr>
        <w:pStyle w:val="Header"/>
        <w:tabs>
          <w:tab w:val="clear" w:pos="4320"/>
          <w:tab w:val="clear" w:pos="8640"/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Primary Contact Person: 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Secondary Contact Person:  </w:t>
      </w:r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Hazardous Waste Management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Did this school generate ten gallons of waste per year?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Note: In Greater Minnesota, schools generating ten gallons of waste per year or less do not need a license</w:t>
      </w:r>
      <w:r w:rsidRPr="003E6A72">
        <w:rPr>
          <w:rFonts w:ascii="Trebuchet MS" w:hAnsi="Trebuchet MS" w:cs="Arial"/>
          <w:i/>
          <w:iCs/>
        </w:rPr>
        <w:t>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Did this school generate 220 pounds or less per month hazardous waste (about ½ drum or less liquid)?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Note: Wastes that do not count include antifreeze, cathode ray tubes, fluorescent lamps, lead acid batteries, </w:t>
      </w:r>
      <w:proofErr w:type="spellStart"/>
      <w:proofErr w:type="gramStart"/>
      <w:r w:rsidRPr="003E6A72">
        <w:rPr>
          <w:rFonts w:ascii="Trebuchet MS" w:hAnsi="Trebuchet MS" w:cs="Arial"/>
          <w:i/>
          <w:iCs/>
        </w:rPr>
        <w:t>pcb</w:t>
      </w:r>
      <w:proofErr w:type="spellEnd"/>
      <w:proofErr w:type="gramEnd"/>
      <w:r w:rsidRPr="003E6A72">
        <w:rPr>
          <w:rFonts w:ascii="Trebuchet MS" w:hAnsi="Trebuchet MS" w:cs="Arial"/>
          <w:i/>
          <w:iCs/>
        </w:rPr>
        <w:t xml:space="preserve"> ballasts, photo fixer reclaimed on site, used oil and oil filters.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>Training for VSQG’s do not have training requirements however MPCA strongly recommends persons handling wastes be given training on best handling and safety risks associated.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training been provided for affected persons? 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Date Conducted:  </w:t>
      </w:r>
      <w:r w:rsidRPr="003E6A72">
        <w:rPr>
          <w:rFonts w:ascii="Trebuchet MS" w:hAnsi="Trebuchet MS" w:cs="Arial"/>
          <w:u w:val="single"/>
        </w:rPr>
        <w:t>N/A</w:t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/>
        </w:rPr>
        <w:tab/>
        <w:t>Date Scheduled:</w:t>
      </w:r>
      <w:r w:rsidRPr="003E6A72">
        <w:rPr>
          <w:rFonts w:ascii="Trebuchet MS" w:hAnsi="Trebuchet MS" w:cs="Arial"/>
          <w:u w:val="single"/>
        </w:rPr>
        <w:tab/>
        <w:t>N/A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t>Has annual report and license application sent in?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C87B31" w:rsidRPr="003E6A72" w:rsidRDefault="00C87B31" w:rsidP="00C87B31">
      <w:pPr>
        <w:rPr>
          <w:rFonts w:ascii="Trebuchet MS" w:hAnsi="Trebuchet MS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04FB7" w:rsidRDefault="00B04FB7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04FB7" w:rsidRDefault="00B04FB7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04FB7" w:rsidRPr="003E6A72" w:rsidRDefault="00B04FB7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2520"/>
        <w:gridCol w:w="1800"/>
        <w:gridCol w:w="2340"/>
      </w:tblGrid>
      <w:tr w:rsidR="00C87B31" w:rsidRPr="003E6A72" w:rsidTr="00273130">
        <w:trPr>
          <w:cantSplit/>
        </w:trPr>
        <w:tc>
          <w:tcPr>
            <w:tcW w:w="9468" w:type="dxa"/>
            <w:gridSpan w:val="5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Evaluation of Hazardous Waste Generating Locations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(complete form for each facility) 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c>
          <w:tcPr>
            <w:tcW w:w="2088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Area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Type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Quantity/Month</w:t>
            </w: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Disposal Method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Chemistry/Biology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Acetone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Bases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Graphic Arts,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Scene Shops, etc.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N/A 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Science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Monitors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components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Art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Printing Fluids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Grounds and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Pesticides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PCB Oil Ballast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Onyx Special Services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Bulbs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Retrofit Companies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Boiler Treatments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Asbestos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Automotive-related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Repairs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Crankcase Oil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Lead-balancing Weights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Antifreeze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Metal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Wood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Ag Shop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Parts Washer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Degreaser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730E0" w:rsidRPr="00B04FB7" w:rsidRDefault="00B04FB7">
      <w:pPr>
        <w:rPr>
          <w:rFonts w:ascii="Trebuchet MS" w:hAnsi="Trebuchet MS" w:cs="Arial"/>
          <w:i/>
          <w:sz w:val="22"/>
        </w:rPr>
      </w:pPr>
      <w:proofErr w:type="spellStart"/>
      <w:r w:rsidRPr="00B04FB7">
        <w:rPr>
          <w:rFonts w:ascii="Trebuchet MS" w:hAnsi="Trebuchet MS" w:cs="Arial"/>
          <w:b/>
          <w:i/>
          <w:sz w:val="22"/>
        </w:rPr>
        <w:t>Note</w:t>
      </w:r>
      <w:proofErr w:type="gramStart"/>
      <w:r w:rsidRPr="00B04FB7">
        <w:rPr>
          <w:rFonts w:ascii="Trebuchet MS" w:hAnsi="Trebuchet MS" w:cs="Arial"/>
          <w:b/>
          <w:i/>
          <w:sz w:val="22"/>
        </w:rPr>
        <w:t>:</w:t>
      </w:r>
      <w:r w:rsidR="00C87B31" w:rsidRPr="00B04FB7">
        <w:rPr>
          <w:rFonts w:ascii="Trebuchet MS" w:hAnsi="Trebuchet MS" w:cs="Arial"/>
          <w:i/>
          <w:sz w:val="22"/>
        </w:rPr>
        <w:t>Recently</w:t>
      </w:r>
      <w:proofErr w:type="spellEnd"/>
      <w:proofErr w:type="gramEnd"/>
      <w:r w:rsidR="00C87B31" w:rsidRPr="00B04FB7">
        <w:rPr>
          <w:rFonts w:ascii="Trebuchet MS" w:hAnsi="Trebuchet MS" w:cs="Arial"/>
          <w:i/>
          <w:sz w:val="22"/>
        </w:rPr>
        <w:t xml:space="preserve"> Tri-county Solid Waste has been a source for recycling bulbs and computer monitors. This annual event is held in Nicollet so has been easy for Barry to recycle materials during the event.</w:t>
      </w:r>
      <w:r w:rsidRPr="00B04FB7">
        <w:rPr>
          <w:rFonts w:ascii="Trebuchet MS" w:hAnsi="Trebuchet MS" w:cs="Arial"/>
          <w:i/>
          <w:sz w:val="22"/>
        </w:rPr>
        <w:t xml:space="preserve"> </w:t>
      </w:r>
      <w:r w:rsidR="00C87B31" w:rsidRPr="00B04FB7">
        <w:rPr>
          <w:rFonts w:ascii="Trebuchet MS" w:hAnsi="Trebuchet MS" w:cs="Arial"/>
          <w:i/>
          <w:sz w:val="22"/>
        </w:rPr>
        <w:t>Waste chemicals generated in the chemistry lab are now neutralized and disposed of in the sanit</w:t>
      </w:r>
      <w:bookmarkStart w:id="0" w:name="_GoBack"/>
      <w:bookmarkEnd w:id="0"/>
      <w:r w:rsidR="00C87B31" w:rsidRPr="00B04FB7">
        <w:rPr>
          <w:rFonts w:ascii="Trebuchet MS" w:hAnsi="Trebuchet MS" w:cs="Arial"/>
          <w:i/>
          <w:sz w:val="22"/>
        </w:rPr>
        <w:t xml:space="preserve">ary sewer as per instructions in the Flynn Manual. </w:t>
      </w:r>
    </w:p>
    <w:sectPr w:rsidR="00C730E0" w:rsidRPr="00B04FB7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B31"/>
    <w:rsid w:val="00B04FB7"/>
    <w:rsid w:val="00B8551A"/>
    <w:rsid w:val="00C730E0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87B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87B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87B31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87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B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3</cp:revision>
  <dcterms:created xsi:type="dcterms:W3CDTF">2011-03-18T21:33:00Z</dcterms:created>
  <dcterms:modified xsi:type="dcterms:W3CDTF">2015-09-21T17:26:00Z</dcterms:modified>
</cp:coreProperties>
</file>